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D12C8C">
        <w:rPr>
          <w:rFonts w:eastAsia="Calibri"/>
          <w:sz w:val="18"/>
          <w:szCs w:val="18"/>
          <w:lang w:eastAsia="en-US"/>
        </w:rPr>
        <w:t>в открытом конкурсе № 7-19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911"/>
        <w:gridCol w:w="5103"/>
      </w:tblGrid>
      <w:tr w:rsidR="00501D82" w:rsidRPr="00501D82" w:rsidTr="00501D82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</w:pPr>
            <w:r w:rsidRPr="00B40C1D">
              <w:t>№ лота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501D82" w:rsidRDefault="00501D82" w:rsidP="00B40C1D">
            <w:pPr>
              <w:shd w:val="clear" w:color="auto" w:fill="FFFFFF"/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Адрес МКД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501D82" w:rsidRDefault="00501D82" w:rsidP="00B40C1D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01D82">
              <w:rPr>
                <w:rFonts w:eastAsia="Calibri"/>
                <w:sz w:val="18"/>
                <w:szCs w:val="18"/>
                <w:lang w:eastAsia="en-US"/>
              </w:rPr>
              <w:t xml:space="preserve">Предмет конкурса: </w:t>
            </w:r>
            <w:r w:rsidRPr="00501D82">
              <w:rPr>
                <w:sz w:val="18"/>
                <w:szCs w:val="18"/>
              </w:rPr>
              <w:t xml:space="preserve">право на заключение договора подряда на </w:t>
            </w:r>
            <w:r w:rsidRPr="00501D82">
              <w:rPr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501D82" w:rsidRPr="00501D82" w:rsidTr="00501D82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jc w:val="center"/>
            </w:pPr>
            <w:r w:rsidRPr="00B40C1D">
              <w:t>1.</w:t>
            </w:r>
          </w:p>
          <w:p w:rsidR="00501D82" w:rsidRPr="00B40C1D" w:rsidRDefault="00501D82" w:rsidP="00B40C1D">
            <w:pPr>
              <w:shd w:val="clear" w:color="auto" w:fill="FFFFFF"/>
              <w:tabs>
                <w:tab w:val="left" w:pos="970"/>
                <w:tab w:val="left" w:pos="1276"/>
              </w:tabs>
              <w:overflowPunct/>
              <w:autoSpaceDE/>
              <w:autoSpaceDN/>
              <w:adjustRightInd/>
              <w:ind w:hanging="2160"/>
              <w:jc w:val="center"/>
            </w:pPr>
            <w:r w:rsidRPr="00B40C1D"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проезд Металлургов, д.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jc w:val="both"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Внутридомовые инженерные системы теплоснабжения, электроснабжения, крыша, фасад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Андреева, д.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Крыша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Б. Хмельницкого, д.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Крыша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Балакирева, д. 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Внутридомовая инженерная система электроснабжения, крыша, ОДПУ электроснабжения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Васнецова, д. 16а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Внутридомовая инженерная система электроснабжения, ОДПУ теплоснабжения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Васнецова, д.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Внутридомовые инженерные системы горячего водоснабжения, холодного водоснабжения</w:t>
            </w:r>
          </w:p>
        </w:tc>
      </w:tr>
      <w:tr w:rsidR="00501D82" w:rsidRPr="00501D82" w:rsidTr="00501D8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>г. Орск, ул. Васнецова, д.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Внутридомовые инженерные системы водоотведения, электроснабжения</w:t>
            </w:r>
          </w:p>
        </w:tc>
      </w:tr>
      <w:tr w:rsidR="00501D82" w:rsidRPr="00501D82" w:rsidTr="00501D82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82" w:rsidRPr="00B40C1D" w:rsidRDefault="00501D82" w:rsidP="00B40C1D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spacing w:after="200"/>
              <w:rPr>
                <w:sz w:val="18"/>
                <w:szCs w:val="18"/>
              </w:rPr>
            </w:pPr>
            <w:r w:rsidRPr="00501D82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501D82">
              <w:rPr>
                <w:sz w:val="18"/>
                <w:szCs w:val="18"/>
              </w:rPr>
              <w:t>Вокзальная</w:t>
            </w:r>
            <w:proofErr w:type="gramEnd"/>
            <w:r w:rsidRPr="00501D82">
              <w:rPr>
                <w:sz w:val="18"/>
                <w:szCs w:val="18"/>
              </w:rPr>
              <w:t>, д. 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82" w:rsidRPr="00501D82" w:rsidRDefault="00501D82" w:rsidP="00B40C1D">
            <w:pPr>
              <w:widowControl/>
              <w:overflowPunct/>
              <w:autoSpaceDE/>
              <w:autoSpaceDN/>
              <w:adjustRightInd/>
              <w:rPr>
                <w:sz w:val="18"/>
                <w:szCs w:val="18"/>
                <w:highlight w:val="red"/>
              </w:rPr>
            </w:pPr>
            <w:r w:rsidRPr="00501D82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B40C1D">
        <w:rPr>
          <w:rFonts w:eastAsia="Calibri"/>
          <w:sz w:val="18"/>
          <w:szCs w:val="18"/>
          <w:lang w:eastAsia="en-US"/>
        </w:rPr>
        <w:t>25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B40C1D">
        <w:rPr>
          <w:rFonts w:eastAsia="Calibri"/>
          <w:sz w:val="18"/>
          <w:szCs w:val="18"/>
          <w:lang w:eastAsia="en-US"/>
        </w:rPr>
        <w:t>ала вскрытия конвертов: 12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B40C1D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1D" w:rsidRDefault="00B40C1D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1D" w:rsidRPr="00C528D1" w:rsidRDefault="00B40C1D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ПроектСтройИндустрия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1D" w:rsidRDefault="00B40C1D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Акимов А.М.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1D" w:rsidRDefault="00B40C1D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1D" w:rsidRDefault="00B40C1D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25</w:t>
            </w: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.10.2016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>получено и зарегистрировано 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7C3EB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 w:rsidP="00FA1DF0">
            <w:pPr>
              <w:overflowPunct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 xml:space="preserve">ООО </w:t>
            </w:r>
            <w:r w:rsidR="00B40C1D">
              <w:rPr>
                <w:sz w:val="18"/>
                <w:szCs w:val="18"/>
              </w:rPr>
              <w:t>«</w:t>
            </w:r>
            <w:proofErr w:type="spellStart"/>
            <w:r w:rsidR="00B40C1D">
              <w:rPr>
                <w:sz w:val="18"/>
                <w:szCs w:val="18"/>
              </w:rPr>
              <w:t>ПроектСтройИндустрия</w:t>
            </w:r>
            <w:proofErr w:type="spellEnd"/>
            <w:r w:rsidR="00B40C1D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1" w:rsidRPr="00C528D1" w:rsidRDefault="00B40C1D" w:rsidP="00B40C1D">
            <w:pPr>
              <w:overflowPunct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4610004</w:t>
            </w:r>
            <w:r w:rsidR="007C3EB1"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 w:rsidR="007C3EB1">
              <w:rPr>
                <w:rFonts w:eastAsia="Calibri"/>
                <w:sz w:val="18"/>
                <w:szCs w:val="18"/>
                <w:lang w:eastAsia="en-US"/>
              </w:rPr>
              <w:t xml:space="preserve">Оренбург,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Коростелевых, д. 28/3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C8" w:rsidRPr="00C528D1" w:rsidRDefault="001C52C8" w:rsidP="00970A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ПроектСтройИндустрия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8" w:rsidRPr="00C528D1" w:rsidRDefault="001C52C8" w:rsidP="00970A46">
            <w:pPr>
              <w:overflowPunct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4610004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Оренбург, пр.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Коростелевых, д. 28/3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501D82" w:rsidRDefault="00501D82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1C52C8" w:rsidRPr="00C528D1" w:rsidTr="00970A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8" w:rsidRPr="00C528D1" w:rsidRDefault="001C52C8" w:rsidP="00970A4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C8" w:rsidRPr="00C528D1" w:rsidRDefault="001C52C8" w:rsidP="00970A4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501D82" w:rsidRPr="00C528D1" w:rsidRDefault="00501D82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1C52C8" w:rsidRPr="00C528D1">
        <w:rPr>
          <w:sz w:val="18"/>
          <w:szCs w:val="18"/>
        </w:rPr>
        <w:t>ООО «ПУВЗ»</w:t>
      </w:r>
      <w:r w:rsidR="001C52C8">
        <w:rPr>
          <w:color w:val="FF0000"/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</w:t>
            </w:r>
            <w:proofErr w:type="gramStart"/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24.10.2016 № 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559 304, 00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доверенности от 20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501D82">
              <w:rPr>
                <w:rFonts w:eastAsia="Calibri"/>
                <w:sz w:val="15"/>
                <w:szCs w:val="15"/>
                <w:lang w:eastAsia="en-US"/>
              </w:rPr>
              <w:t>ых поручений от 17.10.2016 № 508, от 21.10.2016 № 546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645 000, 00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gramEnd"/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8, от 21.10.2016 № 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644 840, 00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92191" w:rsidRPr="00EB3D02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B40C1D" w:rsidRDefault="00B40C1D" w:rsidP="00B40C1D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 w:rsidRPr="00B40C1D">
              <w:rPr>
                <w:sz w:val="15"/>
                <w:szCs w:val="15"/>
              </w:rPr>
              <w:t>ПроектСтройИндустрия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 xml:space="preserve">4610004, г. Оренбург, пр. </w:t>
            </w:r>
            <w:proofErr w:type="spellStart"/>
            <w:r w:rsidRPr="00B40C1D">
              <w:rPr>
                <w:rFonts w:eastAsia="Calibri"/>
                <w:sz w:val="15"/>
                <w:szCs w:val="15"/>
                <w:lang w:eastAsia="en-US"/>
              </w:rPr>
              <w:t>Бр</w:t>
            </w:r>
            <w:proofErr w:type="spellEnd"/>
            <w:r w:rsidRPr="00B40C1D">
              <w:rPr>
                <w:rFonts w:eastAsia="Calibri"/>
                <w:sz w:val="15"/>
                <w:szCs w:val="15"/>
                <w:lang w:eastAsia="en-US"/>
              </w:rPr>
              <w:t>. Коростелевых, д. 28/3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 w:rsidR="00B40C1D">
              <w:rPr>
                <w:rFonts w:eastAsia="Calibri"/>
                <w:sz w:val="15"/>
                <w:szCs w:val="15"/>
                <w:lang w:eastAsia="en-US"/>
              </w:rPr>
              <w:t xml:space="preserve">вступлении в должность директора от 01.09.2016  </w:t>
            </w:r>
            <w:r w:rsidR="00A73EDF">
              <w:rPr>
                <w:rFonts w:eastAsia="Calibri"/>
                <w:sz w:val="15"/>
                <w:szCs w:val="15"/>
                <w:lang w:eastAsia="en-US"/>
              </w:rPr>
              <w:t>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73EDF" w:rsidP="00A73ED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 от 24.10.2016 № 115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A73EDF" w:rsidRPr="00B40C1D">
              <w:rPr>
                <w:sz w:val="15"/>
                <w:szCs w:val="15"/>
              </w:rPr>
              <w:t>«</w:t>
            </w:r>
            <w:proofErr w:type="spellStart"/>
            <w:r w:rsidR="00A73EDF" w:rsidRPr="00B40C1D">
              <w:rPr>
                <w:sz w:val="15"/>
                <w:szCs w:val="15"/>
              </w:rPr>
              <w:t>ПроектСтройИндустрия</w:t>
            </w:r>
            <w:proofErr w:type="spellEnd"/>
            <w:r w:rsidR="00A73EDF" w:rsidRPr="00B40C1D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A73EDF" w:rsidRPr="00B40C1D">
              <w:rPr>
                <w:sz w:val="15"/>
                <w:szCs w:val="15"/>
              </w:rPr>
              <w:t>«</w:t>
            </w:r>
            <w:proofErr w:type="spellStart"/>
            <w:r w:rsidR="00A73EDF" w:rsidRPr="00B40C1D">
              <w:rPr>
                <w:sz w:val="15"/>
                <w:szCs w:val="15"/>
              </w:rPr>
              <w:t>ПроектСтройИндустрия</w:t>
            </w:r>
            <w:proofErr w:type="spellEnd"/>
            <w:r w:rsidR="00A73EDF" w:rsidRPr="00B40C1D">
              <w:rPr>
                <w:sz w:val="15"/>
                <w:szCs w:val="15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A73ED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="00A73EDF" w:rsidRPr="00B40C1D">
              <w:rPr>
                <w:sz w:val="15"/>
                <w:szCs w:val="15"/>
              </w:rPr>
              <w:t>«</w:t>
            </w:r>
            <w:proofErr w:type="spellStart"/>
            <w:r w:rsidR="00A73EDF" w:rsidRPr="00B40C1D">
              <w:rPr>
                <w:sz w:val="15"/>
                <w:szCs w:val="15"/>
              </w:rPr>
              <w:t>ПроектСтройИндустрия</w:t>
            </w:r>
            <w:proofErr w:type="spellEnd"/>
            <w:r w:rsidR="00A73EDF" w:rsidRPr="00B40C1D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A73EDF" w:rsidRPr="00B40C1D">
              <w:rPr>
                <w:sz w:val="15"/>
                <w:szCs w:val="15"/>
              </w:rPr>
              <w:t>«</w:t>
            </w:r>
            <w:proofErr w:type="spellStart"/>
            <w:r w:rsidR="00A73EDF" w:rsidRPr="00B40C1D">
              <w:rPr>
                <w:sz w:val="15"/>
                <w:szCs w:val="15"/>
              </w:rPr>
              <w:t>ПроектСтройИндустрия</w:t>
            </w:r>
            <w:proofErr w:type="spellEnd"/>
            <w:r w:rsidR="00A73EDF" w:rsidRPr="00B40C1D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73EDF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499 000,00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F92191" w:rsidRPr="00C528D1" w:rsidTr="00B40C1D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7D0914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36C5B">
      <w:headerReference w:type="first" r:id="rId10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DF" w:rsidRDefault="00A73EDF" w:rsidP="00AD3A05">
      <w:r>
        <w:separator/>
      </w:r>
    </w:p>
  </w:endnote>
  <w:endnote w:type="continuationSeparator" w:id="0">
    <w:p w:rsidR="00A73EDF" w:rsidRDefault="00A73EDF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DF" w:rsidRDefault="00A73EDF" w:rsidP="00AD3A05">
      <w:r>
        <w:separator/>
      </w:r>
    </w:p>
  </w:footnote>
  <w:footnote w:type="continuationSeparator" w:id="0">
    <w:p w:rsidR="00A73EDF" w:rsidRDefault="00A73EDF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EndPr/>
    <w:sdtContent>
      <w:p w:rsidR="00A73EDF" w:rsidRDefault="00A73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1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63887"/>
      <w:docPartObj>
        <w:docPartGallery w:val="Page Numbers (Top of Page)"/>
        <w:docPartUnique/>
      </w:docPartObj>
    </w:sdtPr>
    <w:sdtEndPr/>
    <w:sdtContent>
      <w:p w:rsidR="00A73EDF" w:rsidRDefault="00A73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14">
          <w:rPr>
            <w:noProof/>
          </w:rPr>
          <w:t>3</w:t>
        </w:r>
        <w:r>
          <w:fldChar w:fldCharType="end"/>
        </w:r>
      </w:p>
    </w:sdtContent>
  </w:sdt>
  <w:p w:rsidR="00A73EDF" w:rsidRDefault="00A73E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E24CF"/>
    <w:rsid w:val="00242CC2"/>
    <w:rsid w:val="00275040"/>
    <w:rsid w:val="002875AA"/>
    <w:rsid w:val="00287C69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D3138"/>
    <w:rsid w:val="004F2F12"/>
    <w:rsid w:val="00501D82"/>
    <w:rsid w:val="005129A3"/>
    <w:rsid w:val="00544185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51EC9"/>
    <w:rsid w:val="007616C7"/>
    <w:rsid w:val="007852D4"/>
    <w:rsid w:val="007C3EB1"/>
    <w:rsid w:val="007C5974"/>
    <w:rsid w:val="007D091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60C1A"/>
    <w:rsid w:val="00995E48"/>
    <w:rsid w:val="009A5EE4"/>
    <w:rsid w:val="009D700D"/>
    <w:rsid w:val="00A55857"/>
    <w:rsid w:val="00A73EDF"/>
    <w:rsid w:val="00A833FB"/>
    <w:rsid w:val="00A85853"/>
    <w:rsid w:val="00AD3A05"/>
    <w:rsid w:val="00AF6539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528D1"/>
    <w:rsid w:val="00C6400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0EB6-000E-4783-8431-9B678AE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6</cp:revision>
  <cp:lastPrinted>2016-10-27T04:53:00Z</cp:lastPrinted>
  <dcterms:created xsi:type="dcterms:W3CDTF">2016-10-25T12:38:00Z</dcterms:created>
  <dcterms:modified xsi:type="dcterms:W3CDTF">2016-10-28T05:43:00Z</dcterms:modified>
</cp:coreProperties>
</file>